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BD" w:rsidRPr="008650BD" w:rsidRDefault="008650BD" w:rsidP="009F589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8650BD">
        <w:rPr>
          <w:rFonts w:ascii="Arial" w:hAnsi="Arial" w:cs="Arial"/>
          <w:b/>
          <w:bCs/>
          <w:color w:val="000000"/>
          <w:sz w:val="20"/>
          <w:szCs w:val="20"/>
        </w:rPr>
        <w:t>Intervetions</w:t>
      </w:r>
      <w:proofErr w:type="spellEnd"/>
      <w:r w:rsidRPr="008650B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Coordination of Nutrition Care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ADAT to post-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gastrectomy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diet (diabetic, small frequent meals, fluids between meals) when medical condition allows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Will offer sugar-free carnation instant breakfast when diet advances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Encourage small, frequent meals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-MVI daily. Long-term intramuscular Vitamin B12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-Continue to monitor electrolytes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replete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(noted K low on 5/10)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-Bowel regimen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prn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Intervention</w:t>
      </w:r>
      <w:r w:rsidR="008650B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Nutrition Education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-Will f/u with post-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gastrectomy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diet education prior to discharge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894" w:rsidRDefault="009F5894" w:rsidP="009F589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894" w:rsidRDefault="009F5894" w:rsidP="009F589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Comments: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PS is a 64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woman s/p complete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gastrectomy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esophagostomy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who has had several operations in the past for ulcer disease. Frequent gastric outlet obstructions since 1991. Required frequent endoscopic dilations almost every 2 weeks in order to tolerate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liquids.She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had issues with food not emptying, now requiring more frequent dilations She worsened last summer after that and was treated with TPN for 6 weeks.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PMH: Iron deficiency anemia, SBO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PSH: Roux-en-y gastric bypass 1999,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Billroth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1981, Roux-en-y procedure 2000 4/27: total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gastrectomy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esophagojejunostomy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(4/27) Exploratory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laparotomy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adhesions, total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gastrectomy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 Roux en Y reconstruction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(5/2) Initiate TPN for malnutrition and prolonged NPO status.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(5/6) tolerating clears, flatus,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abd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mildly distended,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drains removed.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(5/7) Diet advanced to full liquid.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(5/8)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TPN d/c,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Miralax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BM,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repleted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(5/9) Bowel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movement,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well cleaned out.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NPO for IR drainage.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8650BD" w:rsidRDefault="008650BD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650BD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Pt reports years of intolerance to solid foods, was tolerating soft/liquid foods PTA (cottage cheese, mashed potatoes, boost oral supplement). Pt reports wt fairly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stable,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 fluctuated from as low as 138 lbs to 150 lbs (UBW 145 lbs).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Denies food allergies/intolerances.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Noted pt's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meds include: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+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D2, calcium carbonate.</w:t>
      </w:r>
      <w:r>
        <w:rPr>
          <w:color w:val="000000"/>
          <w:sz w:val="20"/>
          <w:szCs w:val="20"/>
        </w:rPr>
        <w:t xml:space="preserve"> </w:t>
      </w:r>
    </w:p>
    <w:p w:rsidR="008650BD" w:rsidRDefault="008650BD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Nutrition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pt with inadequate oral intake r/t altered GI function AEB NPO status.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Diet: NPO for IR Drainage, previously on regular diet (5/8)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Intake: 50% dinner consumed on 5/8</w:t>
      </w:r>
      <w:r>
        <w:rPr>
          <w:color w:val="000000"/>
          <w:sz w:val="20"/>
          <w:szCs w:val="20"/>
        </w:rPr>
        <w:t xml:space="preserve">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Previous TPN (off 5/8) to provide 27 Kcal/kg,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1.8 Gm protein/kg,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25% lipids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1560 ml/day (dosing wt: 62 Kg) </w:t>
      </w:r>
    </w:p>
    <w:p w:rsid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Output: Last BM on 5/7 loose, brown</w:t>
      </w:r>
      <w:r>
        <w:rPr>
          <w:color w:val="000000"/>
          <w:sz w:val="20"/>
          <w:szCs w:val="20"/>
        </w:rPr>
        <w:t xml:space="preserve"> </w:t>
      </w:r>
    </w:p>
    <w:p w:rsidR="009F5894" w:rsidRP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  <w:lang w:val="pl-PL"/>
        </w:rPr>
      </w:pPr>
      <w:r w:rsidRPr="009F5894">
        <w:rPr>
          <w:rFonts w:ascii="Arial" w:hAnsi="Arial" w:cs="Arial"/>
          <w:color w:val="000000"/>
          <w:sz w:val="20"/>
          <w:szCs w:val="20"/>
          <w:lang w:val="pl-PL"/>
        </w:rPr>
        <w:t>Labs: Na 138, K 3.3, Glu 106, Ca 8.0, Phos 4.8, Alb 1.5 (5/2)</w:t>
      </w:r>
      <w:r w:rsidRPr="009F5894">
        <w:rPr>
          <w:color w:val="000000"/>
          <w:sz w:val="20"/>
          <w:szCs w:val="20"/>
          <w:lang w:val="pl-PL"/>
        </w:rPr>
        <w:t xml:space="preserve"> </w:t>
      </w:r>
    </w:p>
    <w:p w:rsidR="009F5894" w:rsidRPr="009F5894" w:rsidRDefault="009F5894" w:rsidP="009F5894">
      <w:pPr>
        <w:pStyle w:val="NormalWeb"/>
        <w:rPr>
          <w:rFonts w:ascii="Tahoma" w:hAnsi="Tahoma" w:cs="Tahoma"/>
          <w:color w:val="000000"/>
          <w:sz w:val="20"/>
          <w:szCs w:val="20"/>
          <w:lang w:val="pl-PL"/>
        </w:rPr>
      </w:pPr>
      <w:r w:rsidRPr="009F5894">
        <w:rPr>
          <w:rFonts w:ascii="Arial" w:hAnsi="Arial" w:cs="Arial"/>
          <w:color w:val="000000"/>
          <w:sz w:val="20"/>
          <w:szCs w:val="20"/>
          <w:lang w:val="pl-PL"/>
        </w:rPr>
        <w:t>Meds:vancomycin, miralax, zosyn, Dex5%NaCl.45%KCl20mEq/L (10mls.hr)</w:t>
      </w:r>
      <w:r w:rsidRPr="009F5894">
        <w:rPr>
          <w:color w:val="000000"/>
          <w:sz w:val="20"/>
          <w:szCs w:val="20"/>
          <w:lang w:val="pl-PL"/>
        </w:rPr>
        <w:t xml:space="preserve">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Ht: 67" Wt: 66.6 kg-standing on 4/27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BMI :23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UBW: 65.9 kg IBW: 61.4 kg (108% IBW) </w:t>
      </w:r>
    </w:p>
    <w:p w:rsidR="009F5894" w:rsidRDefault="009F5894" w:rsidP="009F589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Estimated needs: 1670-1925 kcal/day (1.3-1.5 x BEE) 80-93 gm protein/day (1.2-1.4 gm/kg) </w:t>
      </w:r>
    </w:p>
    <w:p w:rsidR="00220422" w:rsidRPr="009F5894" w:rsidRDefault="00220422" w:rsidP="009F5894"/>
    <w:sectPr w:rsidR="00220422" w:rsidRPr="009F5894" w:rsidSect="0022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820"/>
    <w:rsid w:val="00220422"/>
    <w:rsid w:val="007F0820"/>
    <w:rsid w:val="008650BD"/>
    <w:rsid w:val="009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1</cp:revision>
  <dcterms:created xsi:type="dcterms:W3CDTF">2011-06-14T16:24:00Z</dcterms:created>
  <dcterms:modified xsi:type="dcterms:W3CDTF">2011-06-14T17:00:00Z</dcterms:modified>
</cp:coreProperties>
</file>